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6B5E" w14:textId="77777777" w:rsidR="00403DCD" w:rsidRPr="00D437C2" w:rsidRDefault="00403DCD" w:rsidP="00D437C2">
      <w:pPr>
        <w:spacing w:after="120" w:line="276" w:lineRule="auto"/>
        <w:jc w:val="center"/>
        <w:rPr>
          <w:rFonts w:ascii="Arial" w:hAnsi="Arial" w:cs="Arial"/>
          <w:b/>
          <w:color w:val="489842"/>
          <w:sz w:val="28"/>
          <w:szCs w:val="22"/>
        </w:rPr>
      </w:pPr>
      <w:r w:rsidRPr="00D437C2">
        <w:rPr>
          <w:rFonts w:ascii="Arial" w:hAnsi="Arial" w:cs="Arial"/>
          <w:b/>
          <w:color w:val="489842"/>
          <w:sz w:val="28"/>
          <w:szCs w:val="22"/>
        </w:rPr>
        <w:t>Regeln der Zusammenarbeit</w:t>
      </w:r>
      <w:bookmarkStart w:id="0" w:name="_GoBack"/>
      <w:bookmarkEnd w:id="0"/>
    </w:p>
    <w:p w14:paraId="6B18D1AF" w14:textId="77777777" w:rsidR="00403DCD" w:rsidRPr="00D437C2" w:rsidRDefault="00D437C2" w:rsidP="00D437C2">
      <w:pPr>
        <w:spacing w:after="120" w:line="276" w:lineRule="auto"/>
        <w:rPr>
          <w:rFonts w:ascii="Arial" w:hAnsi="Arial" w:cs="Arial"/>
          <w:b/>
          <w:szCs w:val="22"/>
        </w:rPr>
      </w:pPr>
      <w:r w:rsidRPr="003059D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659C0" wp14:editId="5CFDCC47">
                <wp:simplePos x="0" y="0"/>
                <wp:positionH relativeFrom="column">
                  <wp:posOffset>-37465</wp:posOffset>
                </wp:positionH>
                <wp:positionV relativeFrom="paragraph">
                  <wp:posOffset>114671</wp:posOffset>
                </wp:positionV>
                <wp:extent cx="5805122" cy="621030"/>
                <wp:effectExtent l="0" t="0" r="24765" b="266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22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898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C984D" w14:textId="77777777" w:rsidR="00D437C2" w:rsidRPr="00D437C2" w:rsidRDefault="00D437C2" w:rsidP="00D437C2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D437C2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Grundlage der Zusammenarbeit in den Forschungswerkstätten ist der gegenseitige Respekt, d.h. wir lernen voneinander und miteinander und schätzen unterschiedl</w:t>
                            </w:r>
                            <w:r w:rsidRPr="00D437C2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D437C2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che Meinungen.</w:t>
                            </w:r>
                          </w:p>
                          <w:p w14:paraId="6FCBBB5B" w14:textId="77777777" w:rsidR="00D437C2" w:rsidRPr="0052212E" w:rsidRDefault="00D437C2" w:rsidP="00D43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B6B971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2.95pt;margin-top:9.05pt;width:457.1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" fillcolor="white [3201]" strokecolor="#489842">
                <v:textbox>
                  <w:txbxContent>
                    <w:p w:rsidR="00D437C2" w:rsidRPr="00D437C2" w:rsidRDefault="00D437C2" w:rsidP="00D437C2">
                      <w:pPr>
                        <w:spacing w:after="120" w:line="276" w:lineRule="auto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D437C2">
                        <w:rPr>
                          <w:rFonts w:ascii="Arial" w:hAnsi="Arial" w:cs="Arial"/>
                          <w:b/>
                          <w:szCs w:val="22"/>
                        </w:rPr>
                        <w:t>Grundlage der Zusammenarbeit in den Forschungswerkstätten ist der gegenseitige Respekt, d.h. wir lernen voneinander und miteinander und schätzen unterschiedliche Meinungen.</w:t>
                      </w:r>
                    </w:p>
                    <w:p w:rsidR="00D437C2" w:rsidRPr="0052212E" w:rsidRDefault="00D437C2" w:rsidP="00D437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10CED" w14:textId="77777777" w:rsidR="00D437C2" w:rsidRDefault="00D437C2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1EC9BEBC" w14:textId="77777777" w:rsidR="00D437C2" w:rsidRDefault="00D437C2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3CA6F595" w14:textId="77777777" w:rsidR="00A66DF5" w:rsidRDefault="00A66DF5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6C283350" w14:textId="77777777" w:rsidR="00403DCD" w:rsidRPr="00D437C2" w:rsidRDefault="00403DCD" w:rsidP="00D437C2">
      <w:pPr>
        <w:spacing w:after="120" w:line="276" w:lineRule="auto"/>
        <w:rPr>
          <w:rFonts w:ascii="Arial" w:hAnsi="Arial" w:cs="Arial"/>
          <w:b/>
          <w:szCs w:val="22"/>
        </w:rPr>
      </w:pPr>
      <w:r w:rsidRPr="00D437C2">
        <w:rPr>
          <w:rFonts w:ascii="Arial" w:hAnsi="Arial" w:cs="Arial"/>
          <w:b/>
          <w:szCs w:val="22"/>
        </w:rPr>
        <w:t>Die Forschungswerkstätten sind ein geschützter Rahmen</w:t>
      </w:r>
      <w:r w:rsidR="00E01B80" w:rsidRPr="00D437C2">
        <w:rPr>
          <w:rFonts w:ascii="Arial" w:hAnsi="Arial" w:cs="Arial"/>
          <w:b/>
          <w:szCs w:val="22"/>
        </w:rPr>
        <w:t>.</w:t>
      </w:r>
      <w:r w:rsidRPr="00D437C2">
        <w:rPr>
          <w:rFonts w:ascii="Arial" w:hAnsi="Arial" w:cs="Arial"/>
          <w:b/>
          <w:szCs w:val="22"/>
        </w:rPr>
        <w:t xml:space="preserve"> </w:t>
      </w:r>
      <w:r w:rsidR="00E01B80" w:rsidRPr="00D437C2">
        <w:rPr>
          <w:rFonts w:ascii="Arial" w:hAnsi="Arial" w:cs="Arial"/>
          <w:b/>
          <w:szCs w:val="22"/>
        </w:rPr>
        <w:t xml:space="preserve">Alle </w:t>
      </w:r>
      <w:r w:rsidRPr="00D437C2">
        <w:rPr>
          <w:rFonts w:ascii="Arial" w:hAnsi="Arial" w:cs="Arial"/>
          <w:b/>
          <w:szCs w:val="22"/>
        </w:rPr>
        <w:t>Informationen und Aussagen sind vertraulich.</w:t>
      </w:r>
    </w:p>
    <w:p w14:paraId="5D456A43" w14:textId="77777777" w:rsidR="00403DCD" w:rsidRPr="00D437C2" w:rsidRDefault="00403DCD" w:rsidP="00A66DF5">
      <w:pPr>
        <w:spacing w:after="120" w:line="276" w:lineRule="auto"/>
        <w:ind w:left="284"/>
        <w:rPr>
          <w:rFonts w:ascii="Arial" w:hAnsi="Arial" w:cs="Arial"/>
          <w:szCs w:val="22"/>
        </w:rPr>
      </w:pPr>
      <w:r w:rsidRPr="00A66DF5">
        <w:rPr>
          <w:rFonts w:ascii="Arial" w:hAnsi="Arial" w:cs="Arial"/>
          <w:szCs w:val="22"/>
        </w:rPr>
        <w:t>Inhalte, Daten oder Persönliches von Teilnehmern/innen der Forschungswerkstätten we</w:t>
      </w:r>
      <w:r w:rsidRPr="00A66DF5">
        <w:rPr>
          <w:rFonts w:ascii="Arial" w:hAnsi="Arial" w:cs="Arial"/>
          <w:szCs w:val="22"/>
        </w:rPr>
        <w:t>r</w:t>
      </w:r>
      <w:r w:rsidRPr="00A66DF5">
        <w:rPr>
          <w:rFonts w:ascii="Arial" w:hAnsi="Arial" w:cs="Arial"/>
          <w:szCs w:val="22"/>
        </w:rPr>
        <w:t>den nicht an Außenstehende weitergegeben.</w:t>
      </w:r>
    </w:p>
    <w:p w14:paraId="4B0A8340" w14:textId="77777777" w:rsidR="00403DCD" w:rsidRPr="00D437C2" w:rsidRDefault="00403DCD" w:rsidP="00D437C2">
      <w:pPr>
        <w:spacing w:before="240" w:after="120" w:line="276" w:lineRule="auto"/>
        <w:rPr>
          <w:rFonts w:ascii="Arial" w:hAnsi="Arial" w:cs="Arial"/>
          <w:b/>
          <w:szCs w:val="22"/>
        </w:rPr>
      </w:pPr>
      <w:r w:rsidRPr="00D437C2">
        <w:rPr>
          <w:rFonts w:ascii="Arial" w:hAnsi="Arial" w:cs="Arial"/>
          <w:b/>
          <w:szCs w:val="22"/>
        </w:rPr>
        <w:t>Berichte (auch mündliche) über die Forschungswerkstätten erfolgen nur in anonym</w:t>
      </w:r>
      <w:r w:rsidRPr="00D437C2">
        <w:rPr>
          <w:rFonts w:ascii="Arial" w:hAnsi="Arial" w:cs="Arial"/>
          <w:b/>
          <w:szCs w:val="22"/>
        </w:rPr>
        <w:t>i</w:t>
      </w:r>
      <w:r w:rsidRPr="00A66DF5">
        <w:rPr>
          <w:rFonts w:ascii="Arial" w:hAnsi="Arial" w:cs="Arial"/>
          <w:b/>
          <w:szCs w:val="22"/>
        </w:rPr>
        <w:t xml:space="preserve">sierter Form. Ggf. können </w:t>
      </w:r>
      <w:r w:rsidR="00E01B80" w:rsidRPr="00A66DF5">
        <w:rPr>
          <w:rFonts w:ascii="Arial" w:hAnsi="Arial" w:cs="Arial"/>
          <w:b/>
          <w:szCs w:val="22"/>
        </w:rPr>
        <w:t xml:space="preserve">dabei </w:t>
      </w:r>
      <w:r w:rsidRPr="00A66DF5">
        <w:rPr>
          <w:rFonts w:ascii="Arial" w:hAnsi="Arial" w:cs="Arial"/>
          <w:b/>
          <w:szCs w:val="22"/>
        </w:rPr>
        <w:t>auch Decknamen verwendet werden.</w:t>
      </w:r>
    </w:p>
    <w:p w14:paraId="6D5A1234" w14:textId="77777777" w:rsidR="00403DCD" w:rsidRPr="00D437C2" w:rsidRDefault="00403DCD" w:rsidP="00A66DF5">
      <w:pPr>
        <w:spacing w:after="120" w:line="276" w:lineRule="auto"/>
        <w:ind w:left="284"/>
        <w:rPr>
          <w:rFonts w:ascii="Arial" w:hAnsi="Arial" w:cs="Arial"/>
          <w:szCs w:val="22"/>
        </w:rPr>
      </w:pPr>
      <w:r w:rsidRPr="00A66DF5">
        <w:rPr>
          <w:rFonts w:ascii="Arial" w:hAnsi="Arial" w:cs="Arial"/>
          <w:szCs w:val="22"/>
        </w:rPr>
        <w:t>Inhalte werden ohne Namen oder andere personenbezogene Angaben berichtet. Grun</w:t>
      </w:r>
      <w:r w:rsidRPr="00A66DF5">
        <w:rPr>
          <w:rFonts w:ascii="Arial" w:hAnsi="Arial" w:cs="Arial"/>
          <w:szCs w:val="22"/>
        </w:rPr>
        <w:t>d</w:t>
      </w:r>
      <w:r w:rsidRPr="00A66DF5">
        <w:rPr>
          <w:rFonts w:ascii="Arial" w:hAnsi="Arial" w:cs="Arial"/>
          <w:szCs w:val="22"/>
        </w:rPr>
        <w:t xml:space="preserve">lage dafür ist das Bundesdatenschutzgesetz. Nach diesem müssen personenbezogene Daten so verändert werden, dass sie nur mit unverhältnismäßig hohem Aufwand einer bestimmten Person zugeordnet werden können. </w:t>
      </w:r>
    </w:p>
    <w:p w14:paraId="33793A92" w14:textId="77777777" w:rsidR="00403DCD" w:rsidRPr="00D437C2" w:rsidRDefault="00403DCD" w:rsidP="00D437C2">
      <w:pPr>
        <w:spacing w:before="240" w:after="120" w:line="276" w:lineRule="auto"/>
        <w:rPr>
          <w:rFonts w:ascii="Arial" w:hAnsi="Arial" w:cs="Arial"/>
          <w:b/>
          <w:szCs w:val="22"/>
        </w:rPr>
      </w:pPr>
      <w:r w:rsidRPr="00D437C2">
        <w:rPr>
          <w:rFonts w:ascii="Arial" w:hAnsi="Arial" w:cs="Arial"/>
          <w:b/>
          <w:szCs w:val="22"/>
        </w:rPr>
        <w:t>Die Verwendung von Erfahrungen und Ergebnissen aus den Werkstätten erfolgt au</w:t>
      </w:r>
      <w:r w:rsidRPr="00D437C2">
        <w:rPr>
          <w:rFonts w:ascii="Arial" w:hAnsi="Arial" w:cs="Arial"/>
          <w:b/>
          <w:szCs w:val="22"/>
        </w:rPr>
        <w:t>s</w:t>
      </w:r>
      <w:r w:rsidRPr="00A66DF5">
        <w:rPr>
          <w:rFonts w:ascii="Arial" w:hAnsi="Arial" w:cs="Arial"/>
          <w:b/>
          <w:szCs w:val="22"/>
        </w:rPr>
        <w:t xml:space="preserve">schließlich im Rahmen des Forschungsprojektes </w:t>
      </w:r>
      <w:proofErr w:type="spellStart"/>
      <w:r w:rsidRPr="00A66DF5">
        <w:rPr>
          <w:rFonts w:ascii="Arial" w:hAnsi="Arial" w:cs="Arial"/>
          <w:b/>
          <w:szCs w:val="22"/>
        </w:rPr>
        <w:t>ElfE</w:t>
      </w:r>
      <w:proofErr w:type="spellEnd"/>
      <w:r w:rsidRPr="00A66DF5">
        <w:rPr>
          <w:rFonts w:ascii="Arial" w:hAnsi="Arial" w:cs="Arial"/>
          <w:b/>
          <w:szCs w:val="22"/>
        </w:rPr>
        <w:t xml:space="preserve"> bzw. dem Forschungsverbund </w:t>
      </w:r>
      <w:proofErr w:type="spellStart"/>
      <w:r w:rsidRPr="00A66DF5">
        <w:rPr>
          <w:rFonts w:ascii="Arial" w:hAnsi="Arial" w:cs="Arial"/>
          <w:b/>
          <w:szCs w:val="22"/>
        </w:rPr>
        <w:t>PartKommPlus</w:t>
      </w:r>
      <w:proofErr w:type="spellEnd"/>
      <w:r w:rsidRPr="00A66DF5">
        <w:rPr>
          <w:rFonts w:ascii="Arial" w:hAnsi="Arial" w:cs="Arial"/>
          <w:b/>
          <w:szCs w:val="22"/>
        </w:rPr>
        <w:t>.</w:t>
      </w:r>
    </w:p>
    <w:p w14:paraId="4CC8B93F" w14:textId="77777777" w:rsidR="00403DCD" w:rsidRPr="00D437C2" w:rsidRDefault="00403DCD" w:rsidP="00A66DF5">
      <w:pPr>
        <w:spacing w:after="120" w:line="276" w:lineRule="auto"/>
        <w:ind w:left="284"/>
        <w:rPr>
          <w:rFonts w:ascii="Arial" w:hAnsi="Arial" w:cs="Arial"/>
          <w:szCs w:val="22"/>
        </w:rPr>
      </w:pPr>
      <w:r w:rsidRPr="00D437C2">
        <w:rPr>
          <w:rFonts w:ascii="Arial" w:hAnsi="Arial" w:cs="Arial"/>
          <w:szCs w:val="22"/>
        </w:rPr>
        <w:t>Das heißt</w:t>
      </w:r>
      <w:r w:rsidR="009F6C1B">
        <w:rPr>
          <w:rFonts w:ascii="Arial" w:hAnsi="Arial" w:cs="Arial"/>
          <w:szCs w:val="22"/>
        </w:rPr>
        <w:t xml:space="preserve">,  </w:t>
      </w:r>
      <w:r w:rsidRPr="00D437C2">
        <w:rPr>
          <w:rFonts w:ascii="Arial" w:hAnsi="Arial" w:cs="Arial"/>
          <w:szCs w:val="22"/>
        </w:rPr>
        <w:t>Erfahrungen und Ergebnisse werden nicht an andere Dritte/ Institutionen we</w:t>
      </w:r>
      <w:r w:rsidRPr="00D437C2">
        <w:rPr>
          <w:rFonts w:ascii="Arial" w:hAnsi="Arial" w:cs="Arial"/>
          <w:szCs w:val="22"/>
        </w:rPr>
        <w:t>i</w:t>
      </w:r>
      <w:r w:rsidRPr="00D437C2">
        <w:rPr>
          <w:rFonts w:ascii="Arial" w:hAnsi="Arial" w:cs="Arial"/>
          <w:szCs w:val="22"/>
        </w:rPr>
        <w:t xml:space="preserve">tergereicht. Sie dienen ausschließlich dem </w:t>
      </w:r>
      <w:proofErr w:type="spellStart"/>
      <w:r w:rsidRPr="00D437C2">
        <w:rPr>
          <w:rFonts w:ascii="Arial" w:hAnsi="Arial" w:cs="Arial"/>
          <w:szCs w:val="22"/>
        </w:rPr>
        <w:t>ElfE</w:t>
      </w:r>
      <w:proofErr w:type="spellEnd"/>
      <w:r w:rsidRPr="00D437C2">
        <w:rPr>
          <w:rFonts w:ascii="Arial" w:hAnsi="Arial" w:cs="Arial"/>
          <w:szCs w:val="22"/>
        </w:rPr>
        <w:t>-Projekt und dem Forschungsverbund.</w:t>
      </w:r>
    </w:p>
    <w:p w14:paraId="4B77874B" w14:textId="77777777" w:rsidR="00403DCD" w:rsidRPr="00D437C2" w:rsidRDefault="00403DCD" w:rsidP="00D437C2">
      <w:pPr>
        <w:spacing w:before="240" w:after="120" w:line="276" w:lineRule="auto"/>
        <w:rPr>
          <w:rFonts w:ascii="Arial" w:hAnsi="Arial" w:cs="Arial"/>
          <w:b/>
          <w:szCs w:val="22"/>
        </w:rPr>
      </w:pPr>
      <w:r w:rsidRPr="00D437C2">
        <w:rPr>
          <w:rFonts w:ascii="Arial" w:hAnsi="Arial" w:cs="Arial"/>
          <w:b/>
          <w:szCs w:val="22"/>
        </w:rPr>
        <w:t>Zur Veröffentlichung von Ergebnissen aus den Forschungswerkstätten wird die Z</w:t>
      </w:r>
      <w:r w:rsidRPr="00D437C2">
        <w:rPr>
          <w:rFonts w:ascii="Arial" w:hAnsi="Arial" w:cs="Arial"/>
          <w:b/>
          <w:szCs w:val="22"/>
        </w:rPr>
        <w:t>u</w:t>
      </w:r>
      <w:r w:rsidRPr="00A66DF5">
        <w:rPr>
          <w:rFonts w:ascii="Arial" w:hAnsi="Arial" w:cs="Arial"/>
          <w:b/>
          <w:szCs w:val="22"/>
        </w:rPr>
        <w:t>stimmung der beteiligten Eltern eingeholt.</w:t>
      </w:r>
    </w:p>
    <w:p w14:paraId="438E272E" w14:textId="77777777" w:rsidR="00403DCD" w:rsidRPr="009F6C1B" w:rsidRDefault="00403DCD" w:rsidP="00A66DF5">
      <w:pPr>
        <w:spacing w:after="120" w:line="276" w:lineRule="auto"/>
        <w:ind w:left="284"/>
        <w:rPr>
          <w:rFonts w:ascii="Arial" w:hAnsi="Arial" w:cs="Arial"/>
          <w:szCs w:val="22"/>
        </w:rPr>
      </w:pPr>
      <w:r w:rsidRPr="00A66DF5">
        <w:rPr>
          <w:rFonts w:ascii="Arial" w:hAnsi="Arial" w:cs="Arial"/>
          <w:szCs w:val="22"/>
        </w:rPr>
        <w:t>Die Einwilligung wird dokumentiert.</w:t>
      </w:r>
      <w:r w:rsidRPr="009F6C1B">
        <w:rPr>
          <w:rFonts w:ascii="Arial" w:hAnsi="Arial" w:cs="Arial"/>
          <w:szCs w:val="22"/>
        </w:rPr>
        <w:t xml:space="preserve"> Auch hier ist das Bundesdatenschutzgesetz (§4) Grundlage.</w:t>
      </w:r>
    </w:p>
    <w:p w14:paraId="3F81EEDF" w14:textId="77777777" w:rsidR="00403DCD" w:rsidRDefault="00403DCD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76B5AEB6" w14:textId="77777777" w:rsidR="00A66DF5" w:rsidRDefault="00A66DF5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32FC63D2" w14:textId="77777777" w:rsidR="00A66DF5" w:rsidRPr="00D437C2" w:rsidRDefault="00A66DF5" w:rsidP="00D437C2">
      <w:pPr>
        <w:spacing w:after="120" w:line="276" w:lineRule="auto"/>
        <w:rPr>
          <w:rFonts w:ascii="Arial" w:hAnsi="Arial" w:cs="Arial"/>
          <w:b/>
          <w:szCs w:val="22"/>
        </w:rPr>
      </w:pPr>
    </w:p>
    <w:p w14:paraId="178E31C1" w14:textId="77777777" w:rsidR="00D437C2" w:rsidRPr="00C272DA" w:rsidRDefault="00E01B80" w:rsidP="00D437C2">
      <w:pPr>
        <w:spacing w:after="120" w:line="276" w:lineRule="auto"/>
        <w:rPr>
          <w:rFonts w:ascii="Arial" w:hAnsi="Arial" w:cs="Arial"/>
          <w:b/>
          <w:sz w:val="12"/>
          <w:szCs w:val="18"/>
          <w:lang w:val="en-US"/>
        </w:rPr>
      </w:pPr>
      <w:r w:rsidRPr="00D437C2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9C1C" wp14:editId="067BA043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16573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F999B" id="Gerade Verbindung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05pt" to="13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" strokecolor="black [3213]"/>
            </w:pict>
          </mc:Fallback>
        </mc:AlternateContent>
      </w:r>
    </w:p>
    <w:p w14:paraId="45177103" w14:textId="77777777" w:rsidR="00403DCD" w:rsidRPr="00D437C2" w:rsidRDefault="00D437C2" w:rsidP="00D437C2">
      <w:pPr>
        <w:spacing w:after="120" w:line="276" w:lineRule="auto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272DA">
        <w:rPr>
          <w:rFonts w:ascii="Arial" w:hAnsi="Arial" w:cs="Arial"/>
          <w:b/>
          <w:sz w:val="18"/>
          <w:szCs w:val="18"/>
          <w:lang w:val="en-US"/>
        </w:rPr>
        <w:t>Literatur</w:t>
      </w:r>
      <w:proofErr w:type="spellEnd"/>
    </w:p>
    <w:p w14:paraId="2F5746E6" w14:textId="77777777" w:rsidR="00A66DF5" w:rsidRDefault="00403DCD" w:rsidP="00A66DF5">
      <w:pPr>
        <w:pStyle w:val="Fuzeile"/>
        <w:spacing w:after="120" w:line="276" w:lineRule="auto"/>
        <w:rPr>
          <w:rFonts w:ascii="Arial" w:hAnsi="Arial" w:cs="Arial"/>
          <w:sz w:val="18"/>
          <w:szCs w:val="18"/>
        </w:rPr>
      </w:pPr>
      <w:r w:rsidRPr="00D437C2">
        <w:rPr>
          <w:rFonts w:ascii="Arial" w:hAnsi="Arial" w:cs="Arial"/>
          <w:sz w:val="18"/>
          <w:szCs w:val="18"/>
        </w:rPr>
        <w:t>BUNDESMINISTERIUM DER JUSTIZ UND VERBRAUCHERSCHUTZ (BMJV) (2003): Bundesdatenschutzg</w:t>
      </w:r>
      <w:r w:rsidRPr="00D437C2">
        <w:rPr>
          <w:rFonts w:ascii="Arial" w:hAnsi="Arial" w:cs="Arial"/>
          <w:sz w:val="18"/>
          <w:szCs w:val="18"/>
        </w:rPr>
        <w:t>e</w:t>
      </w:r>
      <w:r w:rsidRPr="00D437C2">
        <w:rPr>
          <w:rFonts w:ascii="Arial" w:hAnsi="Arial" w:cs="Arial"/>
          <w:sz w:val="18"/>
          <w:szCs w:val="18"/>
        </w:rPr>
        <w:t>setz. §3 und §4. Online verfügbar unter: http://www.gesetze-im-internet.de/bundesrecht/bdsg_1990/gesamt.pdf, Letzter Zugriff am 15.04.2016.</w:t>
      </w:r>
    </w:p>
    <w:p w14:paraId="4247B1FB" w14:textId="77777777" w:rsidR="00A66DF5" w:rsidRPr="00D437C2" w:rsidRDefault="00A66DF5" w:rsidP="00A66DF5">
      <w:pPr>
        <w:pStyle w:val="Fuzeile"/>
        <w:spacing w:after="120" w:line="276" w:lineRule="auto"/>
        <w:rPr>
          <w:rFonts w:ascii="Arial" w:hAnsi="Arial" w:cs="Arial"/>
          <w:sz w:val="18"/>
          <w:szCs w:val="18"/>
        </w:rPr>
      </w:pPr>
      <w:r w:rsidRPr="00C272DA">
        <w:rPr>
          <w:rFonts w:ascii="Arial" w:hAnsi="Arial" w:cs="Arial"/>
          <w:b/>
          <w:sz w:val="18"/>
          <w:szCs w:val="18"/>
        </w:rPr>
        <w:t>Autorin</w:t>
      </w:r>
      <w:r w:rsidRPr="00C272DA">
        <w:rPr>
          <w:rFonts w:ascii="Arial" w:hAnsi="Arial" w:cs="Arial"/>
          <w:sz w:val="18"/>
          <w:szCs w:val="18"/>
        </w:rPr>
        <w:t xml:space="preserve">: </w:t>
      </w:r>
      <w:r w:rsidR="002A32E3">
        <w:rPr>
          <w:rFonts w:ascii="Arial" w:hAnsi="Arial" w:cs="Arial"/>
          <w:sz w:val="18"/>
          <w:szCs w:val="18"/>
        </w:rPr>
        <w:t>Nicole Martius</w:t>
      </w:r>
    </w:p>
    <w:p w14:paraId="5383CE83" w14:textId="77777777" w:rsidR="009763D8" w:rsidRDefault="00A66DF5" w:rsidP="00D437C2">
      <w:pPr>
        <w:pStyle w:val="Fuzeile"/>
        <w:spacing w:after="120" w:line="276" w:lineRule="auto"/>
        <w:rPr>
          <w:rFonts w:ascii="Arial" w:hAnsi="Arial" w:cs="Arial"/>
          <w:sz w:val="18"/>
          <w:szCs w:val="18"/>
        </w:rPr>
      </w:pPr>
      <w:r w:rsidRPr="00C272DA">
        <w:rPr>
          <w:rFonts w:ascii="Arial" w:hAnsi="Arial" w:cs="Arial"/>
          <w:sz w:val="18"/>
          <w:szCs w:val="18"/>
        </w:rPr>
        <w:t xml:space="preserve">Bitte zitieren Sie dieses Merkblatt wie folgt: Alice Salomon Hochschule (ASH) &amp; Gesundheit Berlin Brandenburg (GBB) (2016). Begleitmaterialien zum Peerforschungsprozess </w:t>
      </w:r>
      <w:proofErr w:type="spellStart"/>
      <w:r w:rsidRPr="00C272DA">
        <w:rPr>
          <w:rFonts w:ascii="Arial" w:hAnsi="Arial" w:cs="Arial"/>
          <w:sz w:val="18"/>
          <w:szCs w:val="18"/>
        </w:rPr>
        <w:t>ElfE</w:t>
      </w:r>
      <w:proofErr w:type="spellEnd"/>
      <w:r w:rsidRPr="00C272DA">
        <w:rPr>
          <w:rFonts w:ascii="Arial" w:hAnsi="Arial" w:cs="Arial"/>
          <w:sz w:val="18"/>
          <w:szCs w:val="18"/>
        </w:rPr>
        <w:t xml:space="preserve">: Eltern fragen Eltern, </w:t>
      </w:r>
      <w:r>
        <w:rPr>
          <w:rFonts w:ascii="Arial" w:hAnsi="Arial" w:cs="Arial"/>
          <w:sz w:val="18"/>
          <w:szCs w:val="18"/>
        </w:rPr>
        <w:t>Regeln der Zusamme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arbeit.</w:t>
      </w:r>
    </w:p>
    <w:sectPr w:rsidR="009763D8" w:rsidSect="00115D8E">
      <w:headerReference w:type="even" r:id="rId9"/>
      <w:headerReference w:type="default" r:id="rId10"/>
      <w:headerReference w:type="first" r:id="rId11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7867" w14:textId="77777777" w:rsidR="00A369DC" w:rsidRDefault="00A369DC" w:rsidP="009763D8">
      <w:r>
        <w:separator/>
      </w:r>
    </w:p>
  </w:endnote>
  <w:endnote w:type="continuationSeparator" w:id="0">
    <w:p w14:paraId="513F661F" w14:textId="77777777" w:rsidR="00A369DC" w:rsidRDefault="00A369DC" w:rsidP="009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40E2D" w14:textId="77777777" w:rsidR="00A369DC" w:rsidRDefault="00A369DC" w:rsidP="009763D8">
      <w:r>
        <w:separator/>
      </w:r>
    </w:p>
  </w:footnote>
  <w:footnote w:type="continuationSeparator" w:id="0">
    <w:p w14:paraId="68477F93" w14:textId="77777777" w:rsidR="00A369DC" w:rsidRDefault="00A369DC" w:rsidP="0097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8130" w14:textId="77777777" w:rsidR="009763D8" w:rsidRDefault="00F677CA">
    <w:pPr>
      <w:pStyle w:val="Kopfzeile"/>
    </w:pPr>
    <w:r>
      <w:rPr>
        <w:noProof/>
        <w:lang w:eastAsia="de-DE"/>
      </w:rPr>
      <w:pict w14:anchorId="2FF1F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1F257" w14:textId="77777777" w:rsidR="009763D8" w:rsidRDefault="00F677CA">
    <w:pPr>
      <w:pStyle w:val="Kopfzeile"/>
    </w:pPr>
    <w:r>
      <w:rPr>
        <w:noProof/>
        <w:lang w:eastAsia="de-DE"/>
      </w:rPr>
      <w:pict w14:anchorId="703C3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0;margin-top:0;width:595.2pt;height:841.9pt;z-index:-251656192;mso-position-horizontal:center;mso-position-horizontal-relative:page;mso-position-vertical:center;mso-position-vertical-relative:page" o:allowincell="f">
          <v:imagedata r:id="rId1" o:title="Elfe Vorlag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82E6C" w14:textId="77777777" w:rsidR="009763D8" w:rsidRDefault="00F677CA">
    <w:pPr>
      <w:pStyle w:val="Kopfzeile"/>
    </w:pPr>
    <w:r>
      <w:rPr>
        <w:noProof/>
        <w:lang w:eastAsia="de-DE"/>
      </w:rPr>
      <w:pict w14:anchorId="51C7F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1BD"/>
    <w:multiLevelType w:val="hybridMultilevel"/>
    <w:tmpl w:val="52784928"/>
    <w:lvl w:ilvl="0" w:tplc="0407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3ED649F9"/>
    <w:multiLevelType w:val="hybridMultilevel"/>
    <w:tmpl w:val="CC22DFEE"/>
    <w:lvl w:ilvl="0" w:tplc="0D4671B0">
      <w:numFmt w:val="bullet"/>
      <w:lvlText w:val="-"/>
      <w:lvlJc w:val="left"/>
      <w:pPr>
        <w:ind w:left="573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E"/>
    <w:rsid w:val="000078C2"/>
    <w:rsid w:val="000200C0"/>
    <w:rsid w:val="00115D8E"/>
    <w:rsid w:val="001213AF"/>
    <w:rsid w:val="002A32E3"/>
    <w:rsid w:val="00403DCD"/>
    <w:rsid w:val="004C235E"/>
    <w:rsid w:val="00603A08"/>
    <w:rsid w:val="006A602B"/>
    <w:rsid w:val="00774A24"/>
    <w:rsid w:val="007A5D0A"/>
    <w:rsid w:val="00846E4E"/>
    <w:rsid w:val="008D2EA1"/>
    <w:rsid w:val="009763D8"/>
    <w:rsid w:val="009F6C1B"/>
    <w:rsid w:val="00A00751"/>
    <w:rsid w:val="00A369DC"/>
    <w:rsid w:val="00A43743"/>
    <w:rsid w:val="00A57E0F"/>
    <w:rsid w:val="00A66DF5"/>
    <w:rsid w:val="00BA019C"/>
    <w:rsid w:val="00C17E04"/>
    <w:rsid w:val="00D437C2"/>
    <w:rsid w:val="00E01B80"/>
    <w:rsid w:val="00F6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80AA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D8E"/>
    <w:pPr>
      <w:spacing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D8E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D8E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2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2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2E3"/>
    <w:rPr>
      <w:rFonts w:ascii="Tahoma" w:eastAsia="Times New Roman" w:hAnsi="Tahom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2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2E3"/>
    <w:rPr>
      <w:rFonts w:ascii="Tahoma" w:eastAsia="Times New Roman" w:hAnsi="Tahom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D8E"/>
    <w:pPr>
      <w:spacing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D8E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D8E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2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2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2E3"/>
    <w:rPr>
      <w:rFonts w:ascii="Tahoma" w:eastAsia="Times New Roman" w:hAnsi="Tahom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2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2E3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ktbereiche\Bereich%20III\inforo.online\inforo.partkommplus\2016\Projektentwicklung\Redaktion\WZ%20ElfE_Dokuordner\Merkbl&#228;tter%20im%20neuen%20Design\ElfE%20Word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5D88-5584-4854-926A-9976284D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ElfE Word-Vorlage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Böhm</dc:creator>
  <cp:lastModifiedBy>Janina Lahn</cp:lastModifiedBy>
  <cp:revision>4</cp:revision>
  <dcterms:created xsi:type="dcterms:W3CDTF">2017-03-10T16:08:00Z</dcterms:created>
  <dcterms:modified xsi:type="dcterms:W3CDTF">2017-03-14T11:05:00Z</dcterms:modified>
</cp:coreProperties>
</file>